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الكبرى — رقم الحديث: 10330</w:t>
        <w:br/>
      </w:r>
      <w:r>
        <w:rPr>
          <w:rtl w:val="1"/>
        </w:rPr>
        <w:t xml:space="preserve"> أخبرنا عبد الرحمن بن محمد بن سلام، حدثنا زيد بن الحباب، أخبرني عثمان بن موهب الهاشمي، سمعت أنس بن مالك، يقول:</w:t>
        <w:br/>
      </w:r>
      <w:r>
        <w:rPr>
          <w:color w:val="000000"/>
          <w:rtl w:val="1"/>
        </w:rPr>
        <w:t xml:space="preserve">قال النبي ﷺ لفاطمة: «ما يَمنعُك أَن تَسمعي مَا أُوصِيكِ به،  </w:t>
      </w:r>
      <w:r>
        <w:rPr>
          <w:color w:val="FF0000"/>
          <w:rtl w:val="1"/>
        </w:rPr>
        <w:t xml:space="preserve">أن تقولي إذا أَصبَحتِ وإذا أَمسَيت: يا حَيّ يا قَيوم بِرَحمَتك أَستَغيث، أَصلِح لي شَأني كُلَّه، ولا تَكلني إلى نَفسِي طَرفَةَ عَين».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حياته وقيوميته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