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7641</w:t>
        <w:br/>
      </w:r>
      <w:r>
        <w:rPr>
          <w:rtl w:val="1"/>
        </w:rPr>
        <w:t xml:space="preserve"> أَخْبَرَنَا عُمَرُ بْنُ عَبْدِ الْعَزِيزِ، قَالَ: حَدَّثَنَا يُوسُفُ بْنُ عَدِيٍّ، قَالَ: حَدَّثَنَا عَثَّامٌ، عَنْ هِشَامِ بْنِ عُرْوَةَ، عَنْ أَبِيهِ، عَنْ عَائِشَةَ،</w:t>
        <w:br/>
      </w:r>
      <w:r>
        <w:rPr>
          <w:color w:val="FF0000"/>
          <w:rtl w:val="1"/>
        </w:rPr>
        <w:t xml:space="preserve">أَنَّ النَّبِيَّ ﷺإِذَا تَضَوَّرَ، أَي تَقَلَّبَ من اللَّيْلِ قال: «لَا إِلَهَ إِلَّا اللهُ الْوَاحِدُ ‌الْقَهَّارُ، ‌رَبُّ ‌السَّمَوَاتِ ‌وَالْأَرْضِ وَمَا بَيْنَهُمَا الْعَزِيزُ الْغَفَّارُ».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