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الكبرى — رقم الحديث: 4379</w:t>
        <w:br/>
      </w:r>
      <w:r>
        <w:rPr>
          <w:rtl w:val="1"/>
        </w:rPr>
        <w:t xml:space="preserve"> أخبرنا إسماعيل بن مسعود قال: حدثنا بشر بن المفضل، عن يونس، عن الحسن، عن صعصعة بن معاوية قال: لقيت أبا ذر </w:t>
        <w:br/>
      </w:r>
      <w:r>
        <w:rPr>
          <w:color w:val="FF0000"/>
          <w:rtl w:val="1"/>
        </w:rPr>
        <w:t xml:space="preserve">قال: قلت حدثني قال: نعم قال رسول الله ﷺ: «ما مِن عَبد مُسلم يُنفِقُ مِن كُلِّ مال له زَوجَين في سَبيل الله إلّا استَبَقَته حَجَبة الجنةِ كُلُّهم يَدعوه إلى ما عِندَه». فقلت: وكيف ذاك؟ قال: «إن كانت إبلًا فبَعِيرين، وإن كانت بَقرًا فبَقَرَتَين».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