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4597</w:t>
        <w:br/>
      </w:r>
      <w:r>
        <w:rPr>
          <w:rtl w:val="1"/>
        </w:rPr>
        <w:t xml:space="preserve"> أخبرنا الحسن بن سفيان، حدثنا محمد بن المنهال الضرير، حدثنا يزيد بن زريع، حدثنا هشام هو الدستوائي، عن يحيى بن أبي كثير، عن أبي جعفر عن أبي هريرة،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قال: قال رسول الله ﷺ: «أَفضلُ الأَعمالِ عِندَ اللهِ إيمانٌ لا شَكَّ فيه، وغَزوٌ لا غُلُولَ فيه، وحَجٌّ مَبرور». </w:t>
      </w:r>
      <w:r>
        <w:rPr>
          <w:color w:val="000000"/>
          <w:rtl w:val="1"/>
        </w:rPr>
        <w:t xml:space="preserve">قال أبو هريرة: حجة مبرورة تكفر الخطايا سنة. </w:t>
      </w:r>
      <w:r>
        <w:rPr>
          <w:color w:val="000000"/>
          <w:rtl w:val="1"/>
        </w:rPr>
        <w:t xml:space="preserve">قال أبو حاتم: أبو جعفر هذا: هو محمد بن علي بن الحسين بن علي بن أبي طالب.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