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9421</w:t>
        <w:br/>
      </w:r>
      <w:r>
        <w:rPr>
          <w:rtl w:val="1"/>
        </w:rPr>
        <w:t xml:space="preserve"> عن معمر، عن الزهري، عن ابن المسيب </w:t>
        <w:br/>
      </w:r>
      <w:r>
        <w:rPr>
          <w:color w:val="FF0000"/>
          <w:rtl w:val="1"/>
        </w:rPr>
        <w:t xml:space="preserve">أنَّ النبيَّ ﷺ لم يُقاتِل بني قُريظة حتَّى دعاهُم إلى الإسلام، فأَبَوا فقاتَلَهم. </w:t>
      </w:r>
    </w:p>
    <w:p>
      <w:pPr>
        <w:bidi w:val="1"/>
        <w:jc w:val="start"/>
      </w:pPr>
      <w:r>
        <w:rPr>
          <w:rtl w:val="1"/>
        </w:rPr>
        <w:t>درجة الحديث: رجاله ثقات لكنه مرسل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