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2596</w:t>
        <w:br/>
      </w:r>
      <w:r>
        <w:rPr>
          <w:rtl w:val="1"/>
        </w:rPr>
        <w:t xml:space="preserve"> أخبرني أحمد بن محمد العَنَزي، حدثنا عثمان بن سعيد الدارمي، حدثنا يوسف بن عيسى المروزي، حدثنا الفضل بن موسى السِّيْناني، عن محمد بن عمرو عن سعد بن المنذر عن أبي حُميد الساعِدي</w:t>
        <w:br/>
      </w:r>
      <w:r>
        <w:rPr>
          <w:color w:val="000000"/>
          <w:rtl w:val="1"/>
        </w:rPr>
        <w:t xml:space="preserve">قال:  </w:t>
      </w:r>
      <w:r>
        <w:rPr>
          <w:color w:val="FF0000"/>
          <w:rtl w:val="1"/>
        </w:rPr>
        <w:t xml:space="preserve">خرج رسول الله ﷺ حتى إذا خَلَّف ثَنيّةَ الوَداع إذا كتيبةٌ، قال: "مَن هؤلاء؟ " قالوا: بني قَينُقاع، وهو رَهْط عبد الله بن سَلَام، قال: «وأسلَمُوا؟» قالوا: لا، بل هم على دينهم، قال:  </w:t>
      </w:r>
      <w:r>
        <w:rPr>
          <w:color w:val="FF0000"/>
          <w:rtl w:val="1"/>
        </w:rPr>
        <w:t xml:space="preserve">«قُل لهم فليَرجِعُوا، فإِنَّا ‌لا ‌نَستعينُ ‌بالمشركي». </w:t>
      </w:r>
      <w:r>
        <w:rPr>
          <w:color w:val="000000"/>
          <w:rtl w:val="1"/>
        </w:rPr>
        <w:t xml:space="preserve"> </w:t>
      </w:r>
    </w:p>
    <w:p>
      <w:pPr>
        <w:bidi w:val="1"/>
        <w:jc w:val="start"/>
      </w:pPr>
      <w:r>
        <w:rPr>
          <w:rtl w:val="1"/>
        </w:rPr>
        <w:t>درجة الحديث: إسناده حسن</w:t>
      </w:r>
    </w:p>
    <w:p>
      <w:pPr>
        <w:bidi w:val="1"/>
        <w:jc w:val="start"/>
      </w:pPr>
      <w:r>
        <w:rPr>
          <w:rtl w:val="1"/>
        </w:rPr>
        <w:t>الشرح: الدلالة: عدم الاستعانة بالمشركين،، - مبادئ الحرب الأساسية وعوامل النصر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