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9383 — ج: 8 — ص: 357</w:t>
        <w:br/>
      </w:r>
      <w:r>
        <w:rPr>
          <w:rtl w:val="1"/>
        </w:rPr>
        <w:t xml:space="preserve"> أخبرنا عيسى بن حماد قال: أخبرنا الليث، عن يزيد بن أبي حبيب، عن أبي الصعبة، عن رجل من همدان يقال له أبو أفلح الهمداني، عن ابن زرير، أنه سمع علي بن أبي طالب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إنَّ نبيَّ الله ﷺ أَخذَ حَريرًا فجَعلَه في يَمينِه،  </w:t>
      </w:r>
      <w:r>
        <w:rPr>
          <w:color w:val="FF0000"/>
          <w:rtl w:val="1"/>
        </w:rPr>
        <w:t xml:space="preserve">وأَخذَ ذهبًا فجَعلَه في شِمالِه،  </w:t>
      </w:r>
      <w:r>
        <w:rPr>
          <w:color w:val="FF0000"/>
          <w:rtl w:val="1"/>
        </w:rPr>
        <w:t xml:space="preserve">ثم قال: «إنَّ هذينِ حَرَامٌ على ذُكُورِ أُمَّتي».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حرمة التحلي بالذهب للرجال. - التحلي بالذهب للرجال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