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أخلاق النبي صلى الله عليه وسلم وآدابه — رقم الحديث: 314 — ج: 2 — ص: 209</w:t>
        <w:br/>
      </w:r>
      <w:r>
        <w:rPr>
          <w:rtl w:val="1"/>
        </w:rPr>
        <w:t xml:space="preserve"> أخبرنا ابن الباغندي، أخبرنا ابن مصفى، أخبرنا محمد بن خالد، عن مفضل بن فضالة، عن هشام بن عروة، عن أبيه، عن خالته عائشة، رضي الله عنها</w:t>
        <w:br/>
      </w:r>
      <w:r>
        <w:rPr>
          <w:color w:val="FF0000"/>
          <w:rtl w:val="1"/>
        </w:rPr>
        <w:t xml:space="preserve">أنَّ النّبيَّ ﷺ كان يَلبَس مِن القَلانِس في السَّفر ذَواتَ الآذان،  </w:t>
      </w:r>
      <w:r>
        <w:rPr>
          <w:color w:val="FF0000"/>
          <w:rtl w:val="1"/>
        </w:rPr>
        <w:t xml:space="preserve">وفي الحَضَرِ المُشَمَّرة، يعني الشاميَّة.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