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المغازي للواقدي — ج: 2 — ص: 753</w:t>
        <w:br/>
      </w:r>
      <w:r>
        <w:rPr>
          <w:rtl w:val="1"/>
        </w:rPr>
        <w:t xml:space="preserve"> حدثني ابن أبي سبرة، عن الحارث بن الفضيل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كعبٌ يَكمُنُ النَّهارَ ويَسيرُ اللَّيلَ، حتى دَنا مِنهم، فرآهُ عينٌ لهم فأَخبرَهم بقِلَّةِ أَصحابِ النّبيِّ ﷺ، فجاؤوا على الخُيولِ فقَتَلوهم. </w:t>
      </w:r>
    </w:p>
    <w:p>
      <w:pPr>
        <w:bidi w:val="1"/>
        <w:jc w:val="start"/>
      </w:pPr>
      <w:r>
        <w:rPr>
          <w:rtl w:val="1"/>
        </w:rPr>
        <w:t>الشرح: الدلالة: سرية كعب بن عمير الغفاري إلى ذات أطلاح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