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6906 — ج: 7 — ص: 492</w:t>
        <w:br/>
      </w:r>
      <w:r>
        <w:rPr>
          <w:rtl w:val="1"/>
        </w:rPr>
        <w:t xml:space="preserve"> أخبرني أبو بكر الشافعي، حدثنا محمد بن غالب، حدثنا موسى بن إسماعيل، حدثنا حماد بن سَلَمة، أخبرنا أبو عِمران الجَوْني، عن قيس بن زيد</w:t>
        <w:br/>
      </w:r>
      <w:r>
        <w:rPr>
          <w:color w:val="FF0000"/>
          <w:rtl w:val="1"/>
        </w:rPr>
        <w:t xml:space="preserve">أنَّ النّبيَّ ﷺ طلَّق حفصةَ بنتَ عمر،  </w:t>
      </w:r>
      <w:r>
        <w:rPr>
          <w:color w:val="000000"/>
          <w:rtl w:val="1"/>
        </w:rPr>
        <w:t xml:space="preserve">فدَخلَ عليها خالاها قُدَامةُ وعثمانُ ابنا مَظْعون، فبكَتْ وقالت: واللهِ ما طلَّقني عن شَنيع،  </w:t>
      </w:r>
      <w:r>
        <w:rPr>
          <w:color w:val="FF0000"/>
          <w:rtl w:val="1"/>
        </w:rPr>
        <w:t xml:space="preserve">وجاء النّبيُّ ﷺ، فقال: «قالَ لي جِبريلُ عليه السّلام: راجِعْ حَفصةَ، فإنَّها صوَّامةٌ قوَّامة، وإنَّها زوجتُك في الجنة».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مشروعية الرجعة وعدم قصد الإضرار - الطلاق الرجعي والطلاق البائن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