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طلاق المعتوه-كتاب الطلاق واللعان-سنن الترمذي — رقم الحديث: 1192 — الرقم الفرعي: 2</w:t>
        <w:br/>
      </w:r>
      <w:r>
        <w:rPr>
          <w:rtl w:val="1"/>
        </w:rPr>
        <w:t xml:space="preserve"> حدثنا أبو كريب محمد بن العلاء، قال: حدثنا عبد الله بن إدريس، عن هشام بن عروة، عن أبيه</w:t>
        <w:br/>
      </w:r>
      <w:r>
        <w:rPr>
          <w:color w:val="000000"/>
          <w:rtl w:val="1"/>
        </w:rPr>
        <w:t xml:space="preserve">نحوَ هذا الحديث بمعناه، ولم يذكر فيه: عن عائشة. </w:t>
      </w:r>
      <w:r>
        <w:rPr>
          <w:color w:val="000000"/>
          <w:rtl w:val="1"/>
        </w:rPr>
        <w:t xml:space="preserve">وهذا أَصحُّ من حديث يَعلَى بن شَبِيب.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