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7402 — ج: 16 — ص: 415</w:t>
        <w:br/>
      </w:r>
      <w:r>
        <w:rPr>
          <w:rtl w:val="1"/>
        </w:rPr>
        <w:t xml:space="preserve"> أخبرنا ابن سلم، قال: حدثنا حرملة بن يحيى، قال: حدثنا ابن وهب، قال: أخبرني عمرو بن الحارث، عن دراج، عن ابن حجيرة، عن أبي هريرة، عن رسول الله ﷺ</w:t>
        <w:br/>
      </w:r>
      <w:r>
        <w:rPr>
          <w:color w:val="FF0000"/>
          <w:rtl w:val="1"/>
        </w:rPr>
        <w:t xml:space="preserve">أنه قيل له: أَنَطأُ في الجَنّة؟  </w:t>
      </w:r>
      <w:r>
        <w:rPr>
          <w:color w:val="FF0000"/>
          <w:rtl w:val="1"/>
        </w:rPr>
        <w:t xml:space="preserve">قال: «نَعم والذي نَفسِي بِيَدِه دَحمًا دَحمًا،  </w:t>
      </w:r>
      <w:r>
        <w:rPr>
          <w:color w:val="FF0000"/>
          <w:rtl w:val="1"/>
        </w:rPr>
        <w:t xml:space="preserve">فإذا قامَ عَنها رَجَعت مُطَهَّرةً بِكرًا».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الجماع في الجنة –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