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المستدرك — رقم الحديث: 2717 — ج: 3 — ص: 553</w:t>
        <w:br/>
      </w:r>
      <w:r>
        <w:rPr>
          <w:rtl w:val="1"/>
        </w:rPr>
        <w:t xml:space="preserve"> حدثنا أبو عبد الله محمد بن أحمد بن بطة الأصبهاني، حدثنا عبد الله ابن محمد بن زكريا الأصبهاني، حدثنا محمد بن بكير الحضرمي، حدثنا خالد بن عبد الله، حدثنا أبو إسحاق الشيباني، عن أبي بكر بن حفص، عن محمد بن سعد، عن أبيه، أن رسول الله ﷺ</w:t>
        <w:br/>
      </w:r>
      <w:r>
        <w:rPr>
          <w:color w:val="000000"/>
          <w:rtl w:val="1"/>
        </w:rPr>
        <w:t xml:space="preserve">قال:  </w:t>
      </w:r>
      <w:r>
        <w:rPr>
          <w:color w:val="000000"/>
          <w:rtl w:val="1"/>
        </w:rPr>
        <w:t xml:space="preserve">«ثلاثٌ من السَّعادة، وثلاثٌ من الشَّقاوة،  </w:t>
      </w:r>
      <w:r>
        <w:rPr>
          <w:color w:val="FF0000"/>
          <w:rtl w:val="1"/>
        </w:rPr>
        <w:t xml:space="preserve">فمن السَّعادة:  </w:t>
      </w:r>
      <w:r>
        <w:rPr>
          <w:color w:val="FF0000"/>
          <w:rtl w:val="1"/>
        </w:rPr>
        <w:t xml:space="preserve">المرأةُ تراها تُعجِبُك، وتَغيبُ فتَأمنُها على نفسِها ومالِك،  </w:t>
      </w:r>
      <w:r>
        <w:rPr>
          <w:color w:val="000000"/>
          <w:rtl w:val="1"/>
        </w:rPr>
        <w:t xml:space="preserve">والدابةُ تكون وَطِيَّةً فتُلحِقُك بأصحابِك،  </w:t>
      </w:r>
      <w:r>
        <w:rPr>
          <w:color w:val="000000"/>
          <w:rtl w:val="1"/>
        </w:rPr>
        <w:t xml:space="preserve">والدارُ تكونُ واسعةً كثيرةَ المَرافقِ،  </w:t>
      </w:r>
      <w:r>
        <w:rPr>
          <w:color w:val="000000"/>
          <w:rtl w:val="1"/>
        </w:rPr>
        <w:t xml:space="preserve">ومن الشَّقاوة:  </w:t>
      </w:r>
      <w:r>
        <w:rPr>
          <w:color w:val="000000"/>
          <w:rtl w:val="1"/>
        </w:rPr>
        <w:t xml:space="preserve">المرأة تَراها فتَسوءُك، وتَحمِلُ لسانَها عليك، وإن غِبتَ عنها لم تأمنْها على نفسِها ومالِك،  </w:t>
      </w:r>
      <w:r>
        <w:rPr>
          <w:color w:val="000000"/>
          <w:rtl w:val="1"/>
        </w:rPr>
        <w:t xml:space="preserve">والدابةُ تكون قَطُوفا فإن ضربتَها أتعبَتكَ، وإن تركتَها لم تُلحِقْكَ بأصحابِك،  </w:t>
      </w:r>
      <w:r>
        <w:rPr>
          <w:color w:val="000000"/>
          <w:rtl w:val="1"/>
        </w:rPr>
        <w:t xml:space="preserve">والدارُ تكون ضيِّقةً قليلةَ المَرافق». </w:t>
      </w:r>
      <w:r>
        <w:rPr>
          <w:color w:val="000000"/>
          <w:rtl w:val="1"/>
        </w:rPr>
        <w:t xml:space="preserve">هذا حديثٌ صحيح الإسناد مِن خالد بن عبد الله الواسطي إلى رسول الله ﷺ،  </w:t>
      </w:r>
      <w:r>
        <w:rPr>
          <w:color w:val="000000"/>
          <w:rtl w:val="1"/>
        </w:rPr>
        <w:t xml:space="preserve">تفرَّد به محمد بن بُكير عن خالد، إن كان حَفِظَه فإنّه صحيحٌ على شرط الشيخين. </w:t>
      </w:r>
    </w:p>
    <w:p>
      <w:pPr>
        <w:bidi w:val="1"/>
        <w:jc w:val="start"/>
      </w:pPr>
      <w:r>
        <w:rPr>
          <w:rtl w:val="1"/>
        </w:rPr>
        <w:t>درجة الحديث: إسناده قوي</w:t>
      </w:r>
    </w:p>
    <w:p>
      <w:pPr>
        <w:bidi w:val="1"/>
        <w:jc w:val="start"/>
      </w:pPr>
      <w:r>
        <w:rPr>
          <w:rtl w:val="1"/>
        </w:rPr>
        <w:t>الشرح: الدلالة: الدين والخلق - اختيار الأزواج</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