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المعجم الأوسط — رقم الحديث: 7212 — ج: 7 — ص: 179</w:t>
        <w:br/>
      </w:r>
      <w:r>
        <w:rPr>
          <w:rtl w:val="1"/>
        </w:rPr>
        <w:t xml:space="preserve"> حدثنا محمد بن جابان، حدثنا محمود بن غيلان، حدثنا موسى بن إسماعيل، حدثنا حماد بن سلمة، حدثنا حميد الطويل، عن طلق بن حبيب، عن ابن عباس، أن رسول الله ﷺ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«أربعٌ مَن أُعطِيهن فقد أُعطيَ خَيرَ الدُّنيا والآخرة:  </w:t>
      </w:r>
      <w:r>
        <w:rPr>
          <w:color w:val="000000"/>
          <w:rtl w:val="1"/>
        </w:rPr>
        <w:t xml:space="preserve">قَلبًا شاكرًا،  </w:t>
      </w:r>
      <w:r>
        <w:rPr>
          <w:color w:val="000000"/>
          <w:rtl w:val="1"/>
        </w:rPr>
        <w:t xml:space="preserve">ولِسانًا ذاكِرًا،  </w:t>
      </w:r>
      <w:r>
        <w:rPr>
          <w:color w:val="000000"/>
          <w:rtl w:val="1"/>
        </w:rPr>
        <w:t xml:space="preserve">وبَدَنًا على البلاءِ صابرًا،  </w:t>
      </w:r>
      <w:r>
        <w:rPr>
          <w:color w:val="FF0000"/>
          <w:rtl w:val="1"/>
        </w:rPr>
        <w:t xml:space="preserve">وزوجةً لا تَبغِيه خَونًا في نَفسِها ولا مَالِه». </w:t>
      </w:r>
      <w:r>
        <w:rPr>
          <w:color w:val="000000"/>
          <w:rtl w:val="1"/>
        </w:rPr>
        <w:t xml:space="preserve">لم يَروِ هذا الحديثَ عن طلق بن حَبيب إلّا حُميد الطَّويل، ولا رواهُ عن حُميدٍ إلّا حمّاد بنُ سَلَمة، ولا رواه عن حمَّادٍ إلا موسى،  </w:t>
      </w:r>
      <w:r>
        <w:rPr>
          <w:color w:val="000000"/>
          <w:rtl w:val="1"/>
        </w:rPr>
        <w:t xml:space="preserve">تفرّد به محمود بنُ غَيلان.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الدين والخلق - اختيار الأزواج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