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4227 — ج: 5 — ص: 156</w:t>
        <w:br/>
      </w:r>
      <w:r>
        <w:rPr>
          <w:rtl w:val="1"/>
        </w:rPr>
        <w:t xml:space="preserve"> حدثنا أبو الحسن محمد بن أحمد بن شَبَّويهِ الرئيس بمَرْو، حدثنا جعفر بن محمد النَّيسابوري، حدثنا علي بن مِهْران، أخبرنا سلمة بن الفضل، عن محمد بن إسحاق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وُلد رسولَ الله ﷺ لاثنتَي عشْرةَ ليلةً مَضَتْ من شهرِ ربيعٍ الأوّلِ. </w:t>
      </w:r>
    </w:p>
    <w:p>
      <w:pPr>
        <w:bidi w:val="1"/>
        <w:jc w:val="start"/>
      </w:pPr>
      <w:r>
        <w:rPr>
          <w:rtl w:val="1"/>
        </w:rPr>
        <w:t>الشرح: الدلالة: حمله وولادته صلى الله عليه وسلم - من مولد النبي عليه السلام إلى بعثته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