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3839 — ج: 4 — ص: 595</w:t>
        <w:br/>
      </w:r>
      <w:r>
        <w:rPr>
          <w:rtl w:val="1"/>
        </w:rPr>
        <w:t xml:space="preserve"> أخبرني أبو عبد الله محمد بن علي الصَّنعاني بمكة، حدثنا علي بن المبارَك الصَّنعاني، حدثنا زيد بن المبارَك الصَّنعاني، حدثنا محمد بن ثَوْر، عن مَعمَر، عن الزُّهْري، عن عُرْوة، عن عائشة</w:t>
        <w:br/>
      </w:r>
      <w:r>
        <w:rPr>
          <w:color w:val="000000"/>
          <w:rtl w:val="1"/>
        </w:rPr>
        <w:t xml:space="preserve">قالت:  </w:t>
      </w:r>
      <w:r>
        <w:rPr>
          <w:color w:val="FF0000"/>
          <w:rtl w:val="1"/>
        </w:rPr>
        <w:t xml:space="preserve">كانت غزوةُ بني النَّضِير - وهم طائفةٌ من اليهود - على رأس ستة أشهرٍ من وَقْعة بَدْر،  </w:t>
      </w:r>
      <w:r>
        <w:rPr>
          <w:color w:val="FF0000"/>
          <w:rtl w:val="1"/>
        </w:rPr>
        <w:t xml:space="preserve">وكان منزلُهم ونخلُهم بناحية المدينة، فحاصَرَهم رسولُ الله ﷺ حتى نَزَلوا على الجَلَاء، وعلى أنَّ لهم ما أقلَّتِ الإبل من الأمتعة والأموال إلَّا الحَلْقةَ - يعني السلاح –  </w:t>
      </w:r>
      <w:r>
        <w:rPr>
          <w:color w:val="FF0000"/>
          <w:rtl w:val="1"/>
        </w:rPr>
        <w:t xml:space="preserve">فأنزل الله فيهم: ﴿سَبَّحَ لِلَّهِ مَا فِي السَّمَاوَاتِ وَمَا فِي الْأَرْضِ﴾ إلى قوله: ﴿لِأَوَّلِ الْحَشْرِ مَا ظَنَنْتُمْ أَنْ يَخْرُجُوا﴾ [الحشر:1 - 2]،  </w:t>
      </w:r>
      <w:r>
        <w:rPr>
          <w:color w:val="FF0000"/>
          <w:rtl w:val="1"/>
        </w:rPr>
        <w:t xml:space="preserve">فقاتلهم النبيُّ ﷺ حتى صالحهم على الجَلَاء، فأَجْلاهم إلى الشام، وكانوا من سِبْطٍ لم يُصِبْهم جلاءٌ فيما خَلَا، وكان الله قد كَتَبَ عليهم ذلك، ولولا ذلك لَعذَّبهم في الدنيا بالقتل والسَّبْي،  </w:t>
      </w:r>
      <w:r>
        <w:rPr>
          <w:color w:val="000000"/>
          <w:rtl w:val="1"/>
        </w:rPr>
        <w:t xml:space="preserve">وأما قوله: ﴿لِأَوَّلِ الْحَشْرِ﴾، فكان جلاؤُهم ذلك أولَ حشرٍ في الدنيا إلى الشام. </w:t>
      </w:r>
      <w:r>
        <w:rPr>
          <w:color w:val="000000"/>
          <w:rtl w:val="1"/>
        </w:rPr>
        <w:t xml:space="preserve">هذا حديثٌ صحيحٌ على شرط الشيخين، ولم يُخرجاه. </w:t>
      </w:r>
    </w:p>
    <w:p>
      <w:pPr>
        <w:bidi w:val="1"/>
        <w:jc w:val="start"/>
      </w:pPr>
      <w:r>
        <w:rPr>
          <w:rtl w:val="1"/>
        </w:rPr>
        <w:t>درجة الحديث: إسناده حسن</w:t>
      </w:r>
    </w:p>
    <w:p>
      <w:pPr>
        <w:bidi w:val="1"/>
        <w:jc w:val="start"/>
      </w:pPr>
      <w:r>
        <w:rPr>
          <w:rtl w:val="1"/>
        </w:rPr>
        <w:t>الشرح: الدلالة: غزوة بني النضير - أحداث السنة الرابعة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