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1106 — ج: 3 — ص: 313</w:t>
        <w:br/>
      </w:r>
      <w:r>
        <w:rPr>
          <w:rtl w:val="1"/>
        </w:rPr>
        <w:t xml:space="preserve"> حدثنا محمد بن عيسى، قال: حدثنا إسحاق بن محمد، عن عبد الله بن جعفر، عن إسماعيل بن محمد بن سعد، عن عامر بن سعد، عن أبيه سعد</w:t>
        <w:br/>
      </w:r>
      <w:r>
        <w:rPr>
          <w:color w:val="FF0000"/>
          <w:rtl w:val="1"/>
        </w:rPr>
        <w:t xml:space="preserve">أنَّ النّبيَّ ﷺ نظرَ إلى عُمَير بنِ أَبي وقّاص فاستَصغَرَه حين خرَجَ إلى بَدر، ثم أَجازَه.  </w:t>
      </w:r>
      <w:r>
        <w:rPr>
          <w:color w:val="FF0000"/>
          <w:rtl w:val="1"/>
        </w:rPr>
        <w:t xml:space="preserve">قال سعد: فيقال إنّه خانَهُ سَيفُه.  </w:t>
      </w:r>
      <w:r>
        <w:rPr>
          <w:color w:val="FF0000"/>
          <w:rtl w:val="1"/>
        </w:rPr>
        <w:t xml:space="preserve">قال عبدُ الله: قُتِلَ يومَ بدر.  </w:t>
      </w:r>
      <w:r>
        <w:rPr>
          <w:color w:val="000000"/>
          <w:rtl w:val="1"/>
        </w:rPr>
        <w:t xml:space="preserve">وهذا الحديثُ لا نَعلمُه يُروى عن سَعدٍ إلّا من هذا الوجه، بهذا الإسناد. </w:t>
      </w:r>
    </w:p>
    <w:p>
      <w:pPr>
        <w:bidi w:val="1"/>
        <w:jc w:val="start"/>
      </w:pPr>
      <w:r>
        <w:rPr>
          <w:rtl w:val="1"/>
        </w:rPr>
        <w:t>الشرح: الدلالة: شهداء بدر ومصيرهم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