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الطيالسي  — رقم الحديث: 293 — ج: 1 — ص: 236</w:t>
        <w:br/>
      </w:r>
      <w:r>
        <w:rPr>
          <w:rtl w:val="1"/>
        </w:rPr>
        <w:t xml:space="preserve"> حدثنا أبو عوانة، عن المغيرة، عن أبي الضحى، عن مسروق،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انشَقَّ القمرُ على عهدِ رَسولِ الله ﷺ،  </w:t>
      </w:r>
      <w:r>
        <w:rPr>
          <w:color w:val="FF0000"/>
          <w:rtl w:val="1"/>
        </w:rPr>
        <w:t xml:space="preserve">فقالت قريش: هذا سِحرُ ابنِ أَبي كَبْشة، قال: وقالوا: انتظِروا ما تأتيكُم به السُّفّار، فإنَّ محمّدًا لا يَستطيعُ أن يَسحرَ النّاسَ كلَّهم، قال: فجاءَ السُّفّارُ فقالوا ذاك.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حادثة انشقاق القمر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