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872 — ج: 18 — ص: 342</w:t>
        <w:br/>
      </w:r>
      <w:r>
        <w:rPr>
          <w:rtl w:val="1"/>
        </w:rPr>
        <w:t xml:space="preserve"> حدثنا داود بن محمد بن صالح المروزي، وعبد الله بن أحمد بن حنبل، وإبراهيم بن نائلة الأصبهاني، قالوا: حدثنا جعفر بن مهران السماك، حدثنا عبد الأعلى، عن محمد بن إسحاق، عن المطلب بن عبد الله بن قيس بن مخرمة، عن أبيه، عن جده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وُلِدَ رسولُ الله ﷺ عامَ الفِيل، وبينَ الفِجارِ وبينَ الفِيلِ عِشرونَ سَنة.  </w:t>
      </w:r>
      <w:r>
        <w:rPr>
          <w:color w:val="000000"/>
          <w:rtl w:val="1"/>
        </w:rPr>
        <w:t xml:space="preserve">قال: سُمُّوا الفِجار لأَنهم فجَروا وأَحلُّوا أشياءَ كانوا يُحرِّمونَها،  </w:t>
      </w:r>
      <w:r>
        <w:rPr>
          <w:color w:val="FF0000"/>
          <w:rtl w:val="1"/>
        </w:rPr>
        <w:t xml:space="preserve">وكان بينَ الفِجارِ وبينَ بناءِ الكَعبةِ خمسَ عشْرةَ سنةً،  </w:t>
      </w:r>
      <w:r>
        <w:rPr>
          <w:color w:val="FF0000"/>
          <w:rtl w:val="1"/>
        </w:rPr>
        <w:t xml:space="preserve">وبينَ بناءِ الكَعبةِ وبينَ مَبعثِ النّبيِّ ﷺ خمسُ سِنين،  </w:t>
      </w:r>
      <w:r>
        <w:rPr>
          <w:color w:val="FF0000"/>
          <w:rtl w:val="1"/>
        </w:rPr>
        <w:t xml:space="preserve">فبُعِثَ نبيُّنا ﷺ وهو ابنُ أربعين.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وحرب الفجار - من مولد النبي عليه السلام إلى بعثته</w:t>
      </w:r>
    </w:p>
    <w:p>
      <w:pPr>
        <w:bidi w:val="1"/>
        <w:jc w:val="start"/>
      </w:pPr>
      <w:r>
        <w:rPr>
          <w:rtl w:val="1"/>
        </w:rPr>
        <w:t>الشرح: الدلالة: بعثة الرسول صلى الله عليه وسلم وبدء الوحي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