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8521 — ج: 7 — ص: 479</w:t>
        <w:br/>
      </w:r>
      <w:r>
        <w:rPr>
          <w:rtl w:val="1"/>
        </w:rPr>
        <w:t xml:space="preserve"> أخبرنا محمد بن عبيد بن محمد قال: حدثنا أبو مالك عمرو وهو ابن هاشم، عن إسماعيل وهو ابن أبي خالد قال: أخبرني عمرو بن قيس، عن المنهال بن عمرو، عن زر بن حبيش، أنه سمع عليا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أنا فَقأتُ عينَ الفِتنة، ولولا أَنا ما قُوتِلَ أَهلُ النَّهرَوان،  </w:t>
      </w:r>
      <w:r>
        <w:rPr>
          <w:color w:val="FF0000"/>
          <w:rtl w:val="1"/>
        </w:rPr>
        <w:t xml:space="preserve">ولولا أَنِّي أَخشَى أن تَتركُوا العملَ، لأَخبرتُكم بالذي قَضَى اللهُ على لسانِ نبيِّكم ﷺ لِمَن قاتَلَهم مُبصِرًا لضَلالتِهم، عارفًا بالهُدَى الذي نحنُ عليه.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