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694 — ج: 2 — ص: 469</w:t>
        <w:br/>
      </w:r>
      <w:r>
        <w:rPr>
          <w:color w:val="FF0000"/>
          <w:rtl w:val="1"/>
        </w:rPr>
        <w:t xml:space="preserve">«ألا إنَّ الدِّينارَ والدِّرهمَ أَهلَكا مَن كانَ قَبلَكُم، وهما مُهلِكاكُم». </w:t>
      </w:r>
    </w:p>
    <w:p>
      <w:pPr>
        <w:bidi w:val="1"/>
        <w:jc w:val="start"/>
      </w:pPr>
      <w:r>
        <w:rPr>
          <w:rtl w:val="1"/>
        </w:rPr>
        <w:t>درجة الحديث: صحيح موقوفا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