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الأدب المفرد للبخاري — رقم الحديث: 459 — ص: 163</w:t>
        <w:br/>
      </w:r>
      <w:r>
        <w:rPr>
          <w:rtl w:val="1"/>
        </w:rPr>
        <w:t xml:space="preserve"> حدثنا عبد الرحمن بن يونس، قال: حدثنا محمد بن أبي الفديك، قال: حدثني عبد الله بن أبي يحيى، عن ابن أبي هند، عن أبي هريرة، عن النبي ﷺ</w:t>
        <w:br/>
      </w:r>
      <w:r>
        <w:rPr>
          <w:color w:val="FF0000"/>
          <w:rtl w:val="1"/>
        </w:rPr>
        <w:t xml:space="preserve">«لا تَقومُ السّاعةُ ‌حتى ‌يَبنىَ ‌النَّاسُ ‌بُيوتًا يُشبِّهُونَها بالمَراجِل»  </w:t>
      </w:r>
      <w:r>
        <w:rPr>
          <w:color w:val="000000"/>
          <w:rtl w:val="1"/>
        </w:rPr>
        <w:t xml:space="preserve">قال إبراهيم: يعنى الثَّيابَ المُخطَّطة.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