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20777 — ج: 11 — ص: 373</w:t>
        <w:br/>
      </w:r>
      <w:r>
        <w:rPr>
          <w:rtl w:val="1"/>
        </w:rPr>
        <w:t xml:space="preserve"> أخبرنا عبد الرزاق، عن معمر، عن إسماعيل بن أمية، عن رجل - قال معمر: - أراه سعيدا، عن أبي هريرة</w:t>
        <w:br/>
      </w:r>
      <w:r>
        <w:rPr>
          <w:color w:val="000000"/>
          <w:rtl w:val="1"/>
        </w:rPr>
        <w:t xml:space="preserve">يرويه، قال: </w:t>
      </w:r>
      <w:r>
        <w:rPr>
          <w:color w:val="FF0000"/>
          <w:rtl w:val="1"/>
        </w:rPr>
        <w:t xml:space="preserve">ويلٌ للعَربِ مِن شَرٍّ قد اقتَرَب، على رأسِ السِّتِّين تَصيرُ الأَمانةُ غَنيمةً، والصَّدقةُ غَريمةً، والشَّهادةُ بالمَعرفةِ، والحُكمً بالهَوى.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الأول: ظهور الخيانة والكذب والنفاق والشح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