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6189 — ج: 14 — ص: 98</w:t>
        <w:br/>
      </w:r>
      <w:r>
        <w:rPr>
          <w:rtl w:val="1"/>
        </w:rPr>
        <w:t xml:space="preserve"> أخبرنا أبو يعلى، قال: حدثنا محمد بن أبي بكر المقدمي، قال: حدثنا محمد بن عبد الله الزبيري، قال حدثنا سفيان، عن عطاء بن السائب، عن أبي عبد الرحمن السلمي، عن أبي موسى،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أَصبحَ إبليسُ بثَّ جُنُودَه، فيقول: مَن أَضلَّ اليومَ مُسلِمًا أَلبَسْتُه التَّاج،  </w:t>
      </w:r>
      <w:r>
        <w:rPr>
          <w:color w:val="FF0000"/>
          <w:rtl w:val="1"/>
        </w:rPr>
        <w:t xml:space="preserve">قال: فيَخرُجُ هذا، فيقول: لم أَزَلْ به حتّى طلَّقَ امرأَتَه، فيقول: أَوشَكَ أن يَتَزَوّج، ويَجيءُ هذا، فيقول: لم أَزَلْ به حتَّى عقَّ والدَيهِ، فيقول: أَوشَكَ أن يَبَرَّ،  </w:t>
      </w:r>
      <w:r>
        <w:rPr>
          <w:color w:val="FF0000"/>
          <w:rtl w:val="1"/>
        </w:rPr>
        <w:t xml:space="preserve">ويَجيءُ هذا، فيقول: لم أَزَلْ به حتى أَشرَكَ، فيقول: أَنتَ أَنتَ، ويَجيءُ فيقول: لم أَزَلْ به حتى زَنَى، فيقول: أَنتَ أَنتَ،  </w:t>
      </w:r>
      <w:r>
        <w:rPr>
          <w:color w:val="FF0000"/>
          <w:rtl w:val="1"/>
        </w:rPr>
        <w:t xml:space="preserve">ويجيءُ هذا، فيقول: لم أَزَلْ به حتى قَتَلَ، فيقول: أَنتَ أَنتَ، ويُلبِسُه التّاج».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الفصل الثالث: شدة الفتن وكثرتها - مظاهر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