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2207 — ج: 4 — ص: 145</w:t>
        <w:br/>
      </w:r>
      <w:r>
        <w:rPr>
          <w:rtl w:val="1"/>
        </w:rPr>
        <w:t xml:space="preserve"> حدثنا عبد الله بن عمر بن أبان، حدثنا عبد الرحيم بن سليمان، حدثنا أشعث، عن أبي الزبير المكي،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سألتُ جابرَ بنَ عبد الله عن الحِنطةِ بالتَّمر وفَضلٍ، يدًا بيَد؟  </w:t>
      </w:r>
      <w:r>
        <w:rPr>
          <w:color w:val="000000"/>
          <w:rtl w:val="1"/>
        </w:rPr>
        <w:t xml:space="preserve">فقال: قد كنّا على عهدِ رسولِ الله ﷺ نَشتَري الصَّاعَ الحِنطةَ بستَّةِ آصُعٍ من تَمرٍ يدَا بيَد،  </w:t>
      </w:r>
      <w:r>
        <w:rPr>
          <w:color w:val="000000"/>
          <w:rtl w:val="1"/>
        </w:rPr>
        <w:t xml:space="preserve">فإن كان نوعًا واحدَا فلا خيرَ فيه إلّا مِثلًا بمِثل.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ما لا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