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جزء نافع بن أبي نعيم القارئ  — رقم الحديث: 22</w:t>
        <w:br/>
      </w:r>
      <w:r>
        <w:rPr>
          <w:rtl w:val="1"/>
        </w:rPr>
        <w:t xml:space="preserve"> حدثنا موسى بن سفيان، حدثنا عيسى بن جعفر، حدثنا سفيان الثوري، عن ابن أبي ذئب، عن نافع، عن ابن عمر</w:t>
        <w:br/>
      </w:r>
      <w:r>
        <w:rPr>
          <w:color w:val="FF0000"/>
          <w:rtl w:val="1"/>
        </w:rPr>
        <w:t xml:space="preserve">أنَّ النّبيَّ ﷺ كان يُصلِّي قبلَ المغربِ ركعتَين، وركعتَين بعدَها.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صلاته ﷺ ركعتين قبل المغرب - صلاة النبي ﷺ للسنن والنوافل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