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11533 — ج: 11 — ص: 213</w:t>
        <w:br/>
      </w:r>
      <w:r>
        <w:rPr>
          <w:rtl w:val="1"/>
        </w:rPr>
        <w:t xml:space="preserve"> حدثنا معاذ بن المثنى، حدثنا مسدد، حدثنا خالد، عن حسين، ح، وحدثنا عمر بن حفص السدوسي، حدثنا عاصم بن علي، حدثنا أبي، عن أبي علي الرحبي وهو الحسين بن قيس، عن عكرمة، عن ابن عباس</w:t>
        <w:br/>
      </w:r>
      <w:r>
        <w:rPr>
          <w:color w:val="000000"/>
          <w:rtl w:val="1"/>
        </w:rPr>
        <w:t xml:space="preserve">قال:  </w:t>
      </w:r>
      <w:r>
        <w:rPr>
          <w:color w:val="FF0000"/>
          <w:rtl w:val="1"/>
        </w:rPr>
        <w:t xml:space="preserve">كان النّبيُّ ﷺ إذا هاجَت ريحٌ استقبَلَها بوَجهِه وجَثا على رُكبَتَيه ومدَّ بيَدَيه،  </w:t>
      </w:r>
      <w:r>
        <w:rPr>
          <w:color w:val="FF0000"/>
          <w:rtl w:val="1"/>
        </w:rPr>
        <w:t xml:space="preserve">وقال: «اللّهمَّ إنِّي أَسألُكَ خيرَ هذه الرِّيح وخيرَ ما أُرسِلَت به، وأَعوذُ بك مِن شَرِّها وشَرِّ ما أُرسِلَت به، اللّهمَّ اجعَلْها رحمةً، ولا تَجعَلْها عذابًا، اللّهمَّ اجعَلْها رِياحًا ولا تَجعَلْها رِيحًا». </w:t>
      </w:r>
    </w:p>
    <w:p>
      <w:pPr>
        <w:bidi w:val="1"/>
        <w:jc w:val="start"/>
      </w:pPr>
      <w:r>
        <w:rPr>
          <w:rtl w:val="1"/>
        </w:rPr>
        <w:t xml:space="preserve">درجة الحديث: إسناده ضعيف </w:t>
      </w:r>
    </w:p>
    <w:p>
      <w:pPr>
        <w:bidi w:val="1"/>
        <w:jc w:val="start"/>
      </w:pPr>
      <w:r>
        <w:rPr>
          <w:rtl w:val="1"/>
        </w:rPr>
        <w:t>الشرح: الدلالة: دعاؤه ﷺ إذا هبت الريح - أذكار النبي ﷺ وأدعيته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