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4920 — ج: 8 — ص: 318</w:t>
        <w:br/>
      </w:r>
      <w:r>
        <w:rPr>
          <w:rtl w:val="1"/>
        </w:rPr>
        <w:t xml:space="preserve"> حدثنا محمد بن بكار، حدثنا أبو معشر، عن سعيد، عن عائشة قالت: قال رسول الله صلى الله عليه وسلم:</w:t>
        <w:br/>
      </w:r>
      <w:r>
        <w:rPr>
          <w:color w:val="000000"/>
          <w:rtl w:val="1"/>
        </w:rPr>
        <w:t xml:space="preserve">«يا عائشةُ لو شِئتُ لَسَارت معي جِبالُ الذَّهَب؛  </w:t>
      </w:r>
      <w:r>
        <w:rPr>
          <w:color w:val="000000"/>
          <w:rtl w:val="1"/>
        </w:rPr>
        <w:t xml:space="preserve">جاءَني مَلَكٌ إنَّ حُجْزَتَه لتُساوي الكعبةَ، فقال: إنَّ ربَّكَ يقرأُ عليك السَّلام، ويقولُ لك: إن شِئتَ نبيًّا عبدًا، وإن شِئتَ نَبيًّا مَلِكًا،  </w:t>
      </w:r>
      <w:r>
        <w:rPr>
          <w:color w:val="FF0000"/>
          <w:rtl w:val="1"/>
        </w:rPr>
        <w:t xml:space="preserve">قال: فنظرتُ إلى جِبريلَ، قال: فأَشارَ إليَّ أَنْ ضَعْ نفسَك، قال: فقلتُ: نبيًّا عبدًا»  </w:t>
      </w:r>
      <w:r>
        <w:rPr>
          <w:color w:val="000000"/>
          <w:rtl w:val="1"/>
        </w:rPr>
        <w:t xml:space="preserve">قال: فكان رسولُ الله ﷺ بعدَ ذلك لا يأكلُ مُتَّكِئًا، يقول: «آكلُ كما يأكلُ العبدُ، وأَجلِسُ كما يَجلِسُ العبد».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زهده بالملك - تواضع النبي ﷺ لربه عز وجل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