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7397 — ج: 16 — ص: 409</w:t>
        <w:br/>
      </w:r>
      <w:r>
        <w:rPr>
          <w:rtl w:val="1"/>
        </w:rPr>
        <w:t xml:space="preserve"> أخبرنا عبد الله بن محمد بن سلم قال: حدثنا حرملة بن يحيى قال: حدثنا ابن وهب قال: أخبرني عمرو بن الحارث أن دراجا حدثه عن أبي الهيثم عن أبي سعيد الخدري أنه قال: قال رسول الله ﷺ:</w:t>
        <w:br/>
      </w:r>
      <w:r>
        <w:rPr>
          <w:color w:val="000000"/>
          <w:rtl w:val="1"/>
        </w:rPr>
        <w:t xml:space="preserve">«إنَّ الرَّجُلَ في الجَنَّةِ لَيتَّكِئُ سَبعينَ سَنةً قَبلَ أن يَتَحوَّل،  </w:t>
      </w:r>
      <w:r>
        <w:rPr>
          <w:color w:val="FF0000"/>
          <w:rtl w:val="1"/>
        </w:rPr>
        <w:t xml:space="preserve">ثمَّ تأتيهِ المَرأةُ فتَقرُبُ مِنه، فيَنظُرُ في خَدِّها أَصفَى مِن المِرآةِ، فتُسلِّمُ عليه فيرُدُّ السَّلامَ ويَسألُها مَن أنتِ؟ فتقولُ: أنا مِن المَزِيد،  </w:t>
      </w:r>
      <w:r>
        <w:rPr>
          <w:color w:val="FF0000"/>
          <w:rtl w:val="1"/>
        </w:rPr>
        <w:t xml:space="preserve">وإنّه يَكونُ عليها سَبعونَ ثَوبًا فيَنفُذُها بَصَرُه حتَّى يَرى مُخَّ ساقِها مِن وَراءِ ذلك،  </w:t>
      </w:r>
      <w:r>
        <w:rPr>
          <w:color w:val="FF0000"/>
          <w:rtl w:val="1"/>
        </w:rPr>
        <w:t xml:space="preserve">وإنَّ عليهِنَّ التِّيجانَ، وإنَّ أَدنَى لُؤلؤةٍ عليها لتُضِيءُ ما بينَ المَشرِقِ والمَغرِب».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الحور العين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تحية أهل الجنة - سادسًا: أهل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