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خلق أفعال العباد للبخاري — ج: 1 — ص: 109</w:t>
        <w:br/>
      </w:r>
      <w:r>
        <w:rPr>
          <w:rtl w:val="1"/>
        </w:rPr>
        <w:t xml:space="preserve"> حدثنا ضرار، ثنا صفوان بن أبي الصهباء، عن بكير بن عتيق، عن سالم بن عبد الله بن عمر، عن أبيه، عن جده، عن النبي صلى الله عليه وسلم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قال: «يقولُ اللهُ عزَّ وجلَّ: مَن شَغَلَه ذِكري عَن مَسأَلَتِي أَعطيتُه أَفضَلَ ما أُعطي السائلين».  </w:t>
      </w:r>
      <w:r>
        <w:rPr>
          <w:color w:val="000000"/>
          <w:rtl w:val="1"/>
        </w:rPr>
        <w:t xml:space="preserve">وقال النبي ﷺ: «بينَا أَنا في الجنةِ سَمعتُ صَوتَ رَجلٍ بالقُرآن» فبين أنَّ الصوتَ غَيرُ القُرآن.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فضل الذكر والدعاء بوجه عام - فضل الذكر والدعاء وآدابهما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