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7638 — ج: 8 — ص: 143</w:t>
        <w:br/>
      </w:r>
      <w:r>
        <w:rPr>
          <w:rtl w:val="1"/>
        </w:rPr>
        <w:t xml:space="preserve"> حدثنا أبو زرعة الدمشقي عبد الرحمن بن عمرو، ثنا علي بن عياش الحمصي، ح وحدثنا أحمد بن عبد الوهاب بن نجدة الحوطي، وأبو زيد أحمد بن يزيد الحوطي قالا: ثنا أبو المغيرة، قالا: ثنا حريز بن عثمان، ثنا عبد الرحمن بن ميسرة، قال: سمعت أبا أمامة قال: قال النبي صلى الله عليه وسلم:</w:t>
        <w:br/>
      </w:r>
      <w:r>
        <w:rPr>
          <w:color w:val="FF0000"/>
          <w:rtl w:val="1"/>
        </w:rPr>
        <w:t xml:space="preserve">«لَيَدخُلَنَّ الجنّةَ بشَفاعةِ الرَّجُل الواحدِ ليسَ بنَبيٍّ مثلُ الحَيَّيْن - أو أَحدِ الحَيَّيْن - رَبيعةَ وُمُضَر».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شفاعة رجال من أمة محمد ﷺ - شفاعة غير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