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2655</w:t>
        <w:br/>
      </w:r>
      <w:r>
        <w:rPr>
          <w:rtl w:val="1"/>
        </w:rPr>
        <w:t xml:space="preserve"> ثنا محمد بن يحيى، نا الحكم بن موسى، ثنا يحيى بن حمزة، ح وثنا أبو حاتم محمد بن إدريس الدرامي ثنا الهيثم بن خارجة، ثنا يحيى بن حمزة، عن النعمان بن المنذر، عن عطاء، وطاوس، ومجاهد، عن ابن عباس،</w:t>
        <w:br/>
      </w:r>
      <w:r>
        <w:rPr>
          <w:color w:val="FF0000"/>
          <w:rtl w:val="1"/>
        </w:rPr>
        <w:t xml:space="preserve">أنَّ النبيَّ ﷺ احتَجَمَ، وهو مُحرمٌ، وهل تَسوكَ النبيُّ ﷺ وهو مُحرِم؟ قال: نعم.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الاستياك والامتشاط والنظر في المرآة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