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3480 — ج: 4 — ص: 361</w:t>
        <w:br/>
      </w:r>
      <w:r>
        <w:rPr>
          <w:rtl w:val="1"/>
        </w:rPr>
        <w:t xml:space="preserve"> أخبرنا أبو زكريا العَنبَري، حدثنا محمد بن عبد السلام، حدثنا إسحاق، أخبرنا النَّضْر بن شُمَيل، حدثنا حمّاد بن سَلَمة، عن أبي حازم المدني، عن النُّعمان بن أبي عيّاش، عن أبي سعيد الخُدْري</w:t>
        <w:br/>
      </w:r>
      <w:r>
        <w:rPr>
          <w:color w:val="000000"/>
          <w:rtl w:val="1"/>
        </w:rPr>
        <w:t xml:space="preserve">قال: قالَ رسولُ الله ﷺ  </w:t>
      </w:r>
      <w:r>
        <w:rPr>
          <w:color w:val="FF0000"/>
          <w:rtl w:val="1"/>
        </w:rPr>
        <w:t xml:space="preserve">﴿مَعِيشَةً ضَنْكًا﴾ [طه: 124] قال: «عذابُ القَبر». </w:t>
      </w:r>
      <w:r>
        <w:rPr>
          <w:color w:val="000000"/>
          <w:rtl w:val="1"/>
        </w:rPr>
        <w:t xml:space="preserve">هذا حديثٌ صحيحٌ على شَرط مسلم، ولم يُخرجاه. </w:t>
      </w:r>
    </w:p>
    <w:p>
      <w:pPr>
        <w:bidi w:val="1"/>
        <w:jc w:val="start"/>
      </w:pPr>
      <w:r>
        <w:rPr>
          <w:rtl w:val="1"/>
        </w:rPr>
        <w:t>درجة الحديث: إسناده صحيح</w:t>
      </w:r>
    </w:p>
    <w:p>
      <w:pPr>
        <w:bidi w:val="1"/>
        <w:jc w:val="start"/>
      </w:pPr>
      <w:r>
        <w:rPr>
          <w:rtl w:val="1"/>
        </w:rPr>
        <w:t>الشرح: الدلالة: الكفر والإشراك بالله والنفاق - من أسباب عذاب القبر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