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3112 — ج: 7 — ص: 379</w:t>
        <w:br/>
      </w:r>
      <w:r>
        <w:rPr>
          <w:rtl w:val="1"/>
        </w:rPr>
        <w:t xml:space="preserve"> أخبرنا عمر بن محمد الهمداني حدثنا بندار عن عبد الملك بن الصباح حدثنا شعبة عن سعد بن إبراهيم عن نافع عن صفية عن عائشة عن النبي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«للقَبرِ ضَغْطةٌ لو نَجا مِنها أَحدٌ لنَجا مِنها سَعدُ بنُ معاذ».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أولًا: الترهيب من عذاب القبر - القبر نعيمه وعذابه</w:t>
      </w:r>
    </w:p>
    <w:p>
      <w:pPr>
        <w:bidi w:val="1"/>
        <w:jc w:val="start"/>
      </w:pPr>
      <w:r>
        <w:rPr>
          <w:rtl w:val="1"/>
        </w:rPr>
        <w:t>الشرح: الدلالة: ضمة القبر - ثامنًا: عودة الروح للجسد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