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5929</w:t>
        <w:br/>
      </w:r>
      <w:r>
        <w:rPr>
          <w:rtl w:val="1"/>
        </w:rPr>
        <w:t xml:space="preserve"> أخبرنا إسحاق بن إبراهيم قال: أخبرنا عبد الله بن الحارث المخزومي، عن ابن جريج، قال: قال سليمان بن موسى: حدثنا نافع، وأخبرنا الحسن بن محمد، قال: حدثنا حجاج، عن ابن جريج قال: سليمان بن موسى أخبرني، عن نافع، عن ابن عمر، عن رسول الله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«أفشُوا السّلامَ،  </w:t>
      </w:r>
      <w:r>
        <w:rPr>
          <w:color w:val="FF0000"/>
          <w:rtl w:val="1"/>
        </w:rPr>
        <w:t xml:space="preserve">وأطعِمُوا الطّعامَ،  </w:t>
      </w:r>
      <w:r>
        <w:rPr>
          <w:color w:val="000000"/>
          <w:rtl w:val="1"/>
        </w:rPr>
        <w:t xml:space="preserve">وكونوا إخوانًا كما أَمَرَكُم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