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2134</w:t>
        <w:br/>
      </w:r>
      <w:r>
        <w:rPr>
          <w:rtl w:val="1"/>
        </w:rPr>
        <w:t xml:space="preserve"> أخبرنا الحسن بن سفيان، قال: حدثنا أمية بن بسطام، قال: حدثنا يزيد بن زريع، قال: حدثنا حبيب المعلم، عن هشام بن عروة، عن أبيه، عن عائشة</w:t>
        <w:br/>
      </w:r>
      <w:r>
        <w:rPr>
          <w:color w:val="FF0000"/>
          <w:rtl w:val="1"/>
        </w:rPr>
        <w:t xml:space="preserve">أنَّ النّبيَّ ﷺ استَخلَفَ ابنَ أُمِّ مَكتُوم على المَدينةِ يُصلِّي بالنّاس.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قيمة مسؤولية النيابة في الإمارة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