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731</w:t>
        <w:br/>
      </w:r>
      <w:r>
        <w:rPr>
          <w:rtl w:val="1"/>
        </w:rPr>
        <w:t xml:space="preserve"> أخبرنا الحسين بن عبد الله القطان، قال: حدثنا هشام بن عمار، قال: حدثنا حاتم بن إسماعيل، قال: حدثنا يعقوب بن عبد الله، عن جعفر بن عَمرو بن أُميّة،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قالَ رجلٌ للنّبيِّ ﷺ: أُرسِلُ ناقَتي وأَتوكَّلُ؟ قال: «اعقِلْها وتَوكَّلْ».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التوكُّل - القيم الإيمانية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