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3361</w:t>
        <w:br/>
      </w:r>
      <w:r>
        <w:rPr>
          <w:rtl w:val="1"/>
        </w:rPr>
        <w:t xml:space="preserve"> عن ابن جريج قال: أخبرني نافع،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إذا أَدركتَ الإمامَ راكعًا فرَكعتَ قبلَ أَن يَرفَعَ فقد أَدركتَ، وإن رَفَعَ قبلَ أن تَركعَ فقد فاتَتكَ. </w:t>
      </w:r>
    </w:p>
    <w:p>
      <w:pPr>
        <w:bidi w:val="1"/>
        <w:jc w:val="start"/>
      </w:pPr>
      <w:r>
        <w:rPr>
          <w:rtl w:val="1"/>
        </w:rPr>
        <w:t>الشرح: الدلالة: حد إدراك الركعة - المسبوق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