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742</w:t>
        <w:br/>
      </w:r>
      <w:r>
        <w:rPr>
          <w:rtl w:val="1"/>
        </w:rPr>
        <w:t xml:space="preserve"> حدَّثَناه أبو العباس محمد بن يعقوب، حدثنا أحمد بن عبد الجبار، حدثنا عبد الله بن إدريس، عن ليثٍ، عن عطاء، عن عائشة:</w:t>
        <w:br/>
      </w:r>
      <w:r>
        <w:rPr>
          <w:color w:val="FF0000"/>
          <w:rtl w:val="1"/>
        </w:rPr>
        <w:t xml:space="preserve">أنها كانت تؤذِّن وتُقِيم وتؤمُّ النساء وتقوم وَسْطَهنَّ.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إمامة المرأة بالنساء وتوسطها في الصف - من تجوز إمامته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