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بدء الأذان وقوله عزّ وجلّوإذا ناديتم إلى الصلاة اتّخذوها-كتاب الصلاة-صحيح البخاري — رقم الحديث: 604 — الرقم الفرعي: 99 — الرقم الأصلي: 604</w:t>
        <w:br/>
      </w:r>
      <w:r>
        <w:rPr>
          <w:rtl w:val="1"/>
        </w:rPr>
        <w:t xml:space="preserve"> حدثنا محمود بن غيلان قال:حدثنا عبد الرزاق قال: أخبرنا ابن جريج قال:أخبرني نافع أنّ ابن عمر</w:t>
        <w:br/>
      </w:r>
      <w:r>
        <w:rPr>
          <w:color w:val="FF0000"/>
          <w:rtl w:val="1"/>
        </w:rPr>
        <w:t xml:space="preserve">كان يقولُ: كانَ المُسلمونَ حينَ قَدِمُوا المدينةَ يَجتَمِعونَ فيَتَحَيَّنونَ الصّلاةَ ليس يُنادَى لها، </w:t>
      </w:r>
      <w:r>
        <w:rPr>
          <w:color w:val="FF0000"/>
          <w:rtl w:val="1"/>
        </w:rPr>
        <w:t xml:space="preserve">فتَكلَّمُوا يوماً في ذلكَ، فقال بعضُهُم: اتَّخِذُوا ناقُوساً مِثلَ ناقُوسِ النَّصارَى، </w:t>
      </w:r>
      <w:r>
        <w:rPr>
          <w:color w:val="FF0000"/>
          <w:rtl w:val="1"/>
        </w:rPr>
        <w:t xml:space="preserve">وقال بعضُهُم: بل بُوقاً مِثلَ قَرْن اليهودِ، </w:t>
      </w:r>
      <w:r>
        <w:rPr>
          <w:color w:val="FF0000"/>
          <w:rtl w:val="1"/>
        </w:rPr>
        <w:t xml:space="preserve">فقال عمرُ، رضي الله عنه: أوَلا تَبْعَثونَ رجلاً يُنادي بالصلاةِ؟ </w:t>
      </w:r>
      <w:r>
        <w:rPr>
          <w:color w:val="FF0000"/>
          <w:rtl w:val="1"/>
        </w:rPr>
        <w:t xml:space="preserve">فقال رسولُ الله ﷺ: «يا بلالُ، قُمْ فنادِ بالصلاةِ».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تكرار الرؤيا والاتفاق فيها - متفرقات في الرؤيا</w:t>
      </w:r>
    </w:p>
    <w:p>
      <w:pPr>
        <w:bidi w:val="1"/>
        <w:jc w:val="start"/>
      </w:pPr>
      <w:r>
        <w:rPr>
          <w:rtl w:val="1"/>
        </w:rPr>
        <w:t>الشرح: الدلالة: ابتداء تشريع الأذان - مشروعية الأذان وفضله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تحديد الهدف(المشكلة)</w:t>
      </w:r>
    </w:p>
    <w:p>
      <w:pPr>
        <w:bidi w:val="1"/>
        <w:jc w:val="start"/>
      </w:pPr>
      <w:r>
        <w:rPr>
          <w:rtl w:val="1"/>
        </w:rPr>
        <w:t>الشرح: الدلالة: الدراسة وجمع المعلومات وتحليلها</w:t>
      </w:r>
    </w:p>
    <w:p>
      <w:pPr>
        <w:bidi w:val="1"/>
        <w:jc w:val="start"/>
      </w:pPr>
      <w:r>
        <w:rPr>
          <w:rtl w:val="1"/>
        </w:rPr>
        <w:t>الشرح: الدلالة: البدائل والمفاضلة بينها</w:t>
      </w:r>
    </w:p>
    <w:p>
      <w:pPr>
        <w:bidi w:val="1"/>
        <w:jc w:val="start"/>
      </w:pPr>
      <w:r>
        <w:rPr>
          <w:rtl w:val="1"/>
        </w:rPr>
        <w:t>الشرح: الدلالة: اختيار الأنسب</w:t>
      </w:r>
    </w:p>
    <w:p>
      <w:pPr>
        <w:bidi w:val="1"/>
        <w:jc w:val="start"/>
      </w:pPr>
      <w:r>
        <w:rPr>
          <w:rtl w:val="1"/>
        </w:rPr>
        <w:t>الشرح: الدلالة: التنفيذ - خطوات اتخاذ القرار (مراحل)</w:t>
      </w:r>
    </w:p>
    <w:p>
      <w:pPr>
        <w:bidi w:val="1"/>
        <w:jc w:val="start"/>
      </w:pPr>
      <w:r>
        <w:rPr>
          <w:rtl w:val="1"/>
        </w:rPr>
        <w:t>الشرح: الدلالة: المبادىء(فلسفة الإدارة)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قيمة المشورة في الأحكام - قيمة الشورى</w:t>
      </w:r>
    </w:p>
    <w:p>
      <w:pPr>
        <w:bidi w:val="1"/>
        <w:jc w:val="start"/>
      </w:pPr>
      <w:r>
        <w:rPr>
          <w:rtl w:val="1"/>
        </w:rPr>
        <w:t>الشرح: الدلالة: بدء الأذان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