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صلّى في منزله ثم أدرك الجماعة يصلّي معهم-كتاب الصلاة-سنن أبي داود — رقم الحديث: 575 — الرقم الفرعي: 99 — الرقم الأصلي: 575</w:t>
        <w:br/>
      </w:r>
      <w:r>
        <w:rPr>
          <w:rtl w:val="1"/>
        </w:rPr>
        <w:t xml:space="preserve"> حدثنا حفص بن عمر ثنا شعبة أخبرني يعلى بن عطاء عن جابر بن يزيد بن الأسود عن أبيه</w:t>
        <w:br/>
      </w:r>
      <w:r>
        <w:rPr>
          <w:color w:val="FF0000"/>
          <w:rtl w:val="1"/>
        </w:rPr>
        <w:t xml:space="preserve">أنه صلَّى مع رسول الله أنَّ النّبيَّ ﷺ وهو غُلام شابٌّ، </w:t>
      </w:r>
      <w:r>
        <w:rPr>
          <w:color w:val="FF0000"/>
          <w:rtl w:val="1"/>
        </w:rPr>
        <w:t xml:space="preserve">فلمَّا صلَّى إذا رجلانِ لم يُصَلِّيا في ناحيةِ المسجدِ فدَعا بهما، فجيءَ بهما تُرعَدُ فرائِصُهما، </w:t>
      </w:r>
      <w:r>
        <w:rPr>
          <w:color w:val="FF0000"/>
          <w:rtl w:val="1"/>
        </w:rPr>
        <w:t xml:space="preserve">فقال: «ما مَنَعَكما أن تُصَلَّيا معنا؟» قالا: قد صلَّينا في رِحالِنا، </w:t>
      </w:r>
      <w:r>
        <w:rPr>
          <w:color w:val="FF0000"/>
          <w:rtl w:val="1"/>
        </w:rPr>
        <w:t xml:space="preserve">قال: فقال: «لا تفعَلُوا، إذا صلَّى أحدُكم في رَحْلِهِ، </w:t>
      </w:r>
      <w:r>
        <w:rPr>
          <w:color w:val="FF0000"/>
          <w:rtl w:val="1"/>
        </w:rPr>
        <w:t xml:space="preserve">ثمَّ أدرَكَ الإمامَ ولم يُصَلِّ فليُصَلِّ معه، فإنّها له نافِلَة».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اختلاف نية المأموم عن الإمام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