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الهوى-كتاب الأدب-سنن أبي داود — رقم الحديث: 5130 — الرقم الفرعي: 99 — الرقم الأصلي: 5130</w:t>
        <w:br/>
      </w:r>
      <w:r>
        <w:rPr>
          <w:rtl w:val="1"/>
        </w:rPr>
        <w:t xml:space="preserve"> حدثنا حَيْوة بن شُريح ثنا بقيّة عن أبي بكر بن أبي مريم عن خالد بن محمد الثقفيّ عن بلال بن أبي الدرداء عن أبي الدرداء عن النبيّ صلى الله عليه وسلم</w:t>
        <w:br/>
      </w:r>
      <w:r>
        <w:rPr>
          <w:color w:val="FF0000"/>
          <w:rtl w:val="1"/>
        </w:rPr>
        <w:t xml:space="preserve">قال: «حُبُّكَ الشَّيءَ يُعْمِي وُيصِمُّ». </w:t>
      </w:r>
    </w:p>
    <w:p>
      <w:pPr>
        <w:bidi w:val="1"/>
        <w:jc w:val="start"/>
      </w:pPr>
      <w:r>
        <w:rPr>
          <w:rtl w:val="1"/>
        </w:rPr>
        <w:t>درجة الحديث: صحيح موقوفا</w:t>
      </w:r>
    </w:p>
    <w:p>
      <w:pPr>
        <w:bidi w:val="1"/>
        <w:jc w:val="start"/>
      </w:pPr>
      <w:r>
        <w:rPr>
          <w:rtl w:val="1"/>
        </w:rPr>
        <w:t>الشرح: الدلالة: الاعتدال والتوسط - القيم والأخلاق المحمودة</w:t>
      </w:r>
    </w:p>
    <w:p>
      <w:pPr>
        <w:bidi w:val="1"/>
        <w:jc w:val="start"/>
      </w:pPr>
      <w:r>
        <w:rPr>
          <w:rtl w:val="1"/>
        </w:rPr>
        <w:t>الشرح: الدلالة: التحذير من الابتداع في الدين واتباع الهوى - ما ورد في الرأي المذموم</w:t>
      </w:r>
    </w:p>
    <w:p>
      <w:pPr>
        <w:bidi w:val="1"/>
        <w:jc w:val="start"/>
      </w:pPr>
      <w:r>
        <w:rPr>
          <w:rtl w:val="1"/>
        </w:rPr>
        <w:t>الشرح: الدلالة: التربية الوجدانية - الأهداف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