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ترك الصلاة،قبل العيد وبعدها،في المصلى-كتاب صلاة العيدين-صحيح مسلم — رقم الحديث: 886 — الرقم الفرعي: 1 — الرقم الأصلي: 886</w:t>
        <w:br/>
      </w:r>
      <w:r>
        <w:rPr>
          <w:rtl w:val="1"/>
        </w:rPr>
        <w:t xml:space="preserve"> وحدثني محمد بن رافع حدثنا عبد الرزاق أخبرنا ابن جُريج أخبرني عطاء عن ابن عباس وعن جابر بن عبد الله الأنصاريّ</w:t>
        <w:br/>
      </w:r>
      <w:r>
        <w:rPr>
          <w:color w:val="000000"/>
          <w:rtl w:val="1"/>
        </w:rPr>
        <w:t xml:space="preserve">قالا:  </w:t>
      </w:r>
      <w:r>
        <w:rPr>
          <w:color w:val="FF0000"/>
          <w:rtl w:val="1"/>
        </w:rPr>
        <w:t xml:space="preserve">لم يَكن يُؤذَّنُ يومَ الفِطرِ ولا يومَ الأَضحَى.  </w:t>
      </w:r>
      <w:r>
        <w:rPr>
          <w:color w:val="000000"/>
          <w:rtl w:val="1"/>
        </w:rPr>
        <w:t xml:space="preserve">ثم سألتُه بعدَ حين عن ذلك؟ فأَخبَرَني، قال: أَخبَرني جابرُ بنُ عبدِ الله الأنصاريُّ،  </w:t>
      </w:r>
      <w:r>
        <w:rPr>
          <w:color w:val="FF0000"/>
          <w:rtl w:val="1"/>
        </w:rPr>
        <w:t xml:space="preserve">أنْ لا أَذانَ للصَّلاةِ يومَ الفِطرِ حينَ يَخرجُ الإمام، ولا بعدَ ما يَخرُج، ولا إقامةَ، ولا نداءَ، ولا شيءَ، لا نداءَ يومئذٍ، ولا إقامَة.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ليس لصلاة العيد أذان ولا إقامة - كيفية صلاة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