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الأكْفاء في الدين-كتاب النكاح-صحيح البخاري — رقم الحديث: 5090 — الرقم الفرعي: 99 — الرقم الأصلي: 5090</w:t>
        <w:br/>
      </w:r>
      <w:r>
        <w:rPr>
          <w:rtl w:val="1"/>
        </w:rPr>
        <w:t xml:space="preserve"> حدثنا مُسَدّد حدثنا يحيى عن عُبيدالله قال:حدثني سعيد بن أبي سعيد عن أبيه عن أبي هريرة رضي الله عنه عن النبي،صلى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«تُنكَحُ المرأةُ لأربعٍ: لِمالِها، ولِحَسَبِها، وجمالِها، ولِدِينِها،  </w:t>
      </w:r>
      <w:r>
        <w:rPr>
          <w:color w:val="FF0000"/>
          <w:rtl w:val="1"/>
        </w:rPr>
        <w:t xml:space="preserve">فاظْفَرْ بذاتِ الدِّينِ تَرِبَتْ يَداكَ». 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حسن اختيار الزوجين - قيم الأسرة المسلمة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التمتع بالزواج - قيم التمتع بزينة الله والطيبات من الرزق 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الحسب والمال والجمال - اختيار الأزواج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