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تفسير ذلك-كتاب البيوع-سنن النسائي — رقم الحديث: 4517 — الرقم الفرعي: 99 — الرقم الأصلي: 4517</w:t>
        <w:br/>
      </w:r>
      <w:r>
        <w:rPr>
          <w:rtl w:val="1"/>
        </w:rPr>
        <w:t xml:space="preserve"> أخبرنا محمد بن عبد الأعلى قال:حدثنا المعتمر قال:سمعت عبيدالله عن خَبيب عن حفص بن عاصم عن أبي هريرة عن النبي صلى الله عليه وسلم</w:t>
        <w:br/>
      </w:r>
      <w:r>
        <w:rPr>
          <w:color w:val="FF0000"/>
          <w:rtl w:val="1"/>
        </w:rPr>
        <w:t xml:space="preserve">أنّه نَهى عن بَيعتَين، أمّا البَيعَتان فالمُنابَذَةُ والمُلامَسَة،  </w:t>
      </w:r>
      <w:r>
        <w:rPr>
          <w:color w:val="FF0000"/>
          <w:rtl w:val="1"/>
        </w:rPr>
        <w:t xml:space="preserve">وزَعَم أنَّ المُلامَسةَ: أن يقولَ الرّجلُ للرَّجل: أَبيعُك ثَوبِي بثَوبِك، ولا يَنظُرُ واحدٌ منهما إلى ثوبِ الآخَر، ولكن يَلمِسُه لمسًا.  </w:t>
      </w:r>
      <w:r>
        <w:rPr>
          <w:color w:val="FF0000"/>
          <w:rtl w:val="1"/>
        </w:rPr>
        <w:t xml:space="preserve">وأمّا المُنابَذة: أَن يقول: أَنبُذُ ما معي وتَنبُذُ ما معك، ليَشتَري أَحدُهما مِن الآخَر، ولا يَدرِي كلُّ واحدٍ منهما كم معَ الآخَر، ونحوًا من هذا الوَصف. 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بيع الملامسة - أسباب النهي المتعلقة بالغرر</w:t>
      </w:r>
    </w:p>
    <w:p>
      <w:pPr>
        <w:bidi w:val="1"/>
        <w:jc w:val="start"/>
      </w:pPr>
      <w:r>
        <w:rPr>
          <w:rtl w:val="1"/>
        </w:rPr>
        <w:t>الشرح: الدلالة: بيع المنابذة - أسباب النهي المتعلقة بالغرر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