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الأوقات التي نُهي عن الصلاة فيها-كتاب صلاة المسافرين وقصرها-صحيح مسلم — رقم الحديث: 825 — الرقم الفرعي: 99 — الرقم الأصلي: 825</w:t>
        <w:br/>
      </w:r>
      <w:r>
        <w:rPr>
          <w:rtl w:val="1"/>
        </w:rPr>
        <w:t xml:space="preserve"> حدثنا يحيى بن يحيى قال:قرأت على مالك عن محمد بن يحيى بن حَبّان عن الأعرج عن أبي هريرة</w:t>
        <w:br/>
      </w:r>
      <w:r>
        <w:rPr>
          <w:color w:val="000000"/>
          <w:rtl w:val="1"/>
        </w:rPr>
        <w:t xml:space="preserve">أنَّ رسولَ الله أنَّ النّبيَّ ﷺ نَهَى عن الصَّلاةِ بعدَ العَصْر حتّى تَغرُبَ الشَّمس، </w:t>
      </w:r>
      <w:r>
        <w:rPr>
          <w:color w:val="FF0000"/>
          <w:rtl w:val="1"/>
        </w:rPr>
        <w:t xml:space="preserve">وعن الصَّلاةِ بعدَ الصُّبحِ حتَّى تَطلُعَ الشَّمس.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