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يجمع صفة الصلة وما يفتتح به ويختم به،وصفة الركوع *-كتاب الصلاة-صحيح مسلم — رقم الحديث: 496 — الرقم الفرعي: 99 — الرقم الأصلي: 496</w:t>
        <w:br/>
      </w:r>
      <w:r>
        <w:rPr>
          <w:rtl w:val="1"/>
        </w:rPr>
        <w:t xml:space="preserve"> حدثنا يحيى بن يحيى و ابن أبي عمر جميعاً عن سفيان قال يحيى أخبرنا سفيان بن عُيينة عن عبيدالله بن عبد الله بن الأصم عن عمّه يزيد بن الأصم عن ميمونة</w:t>
        <w:br/>
      </w:r>
      <w:r>
        <w:rPr>
          <w:color w:val="FF0000"/>
          <w:rtl w:val="1"/>
        </w:rPr>
        <w:t xml:space="preserve">قالت: كان النبيُّ ﷺ إذا سَجَدَ لَو شاءَت بَهمَةٌ أَن تَمُرَّ بينَ يَدَيه لَمرَّت.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هيئة السجود والطمأنينة فيه - السجود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