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يحلّ القتال بمكة-كتاب الحجّ-صحيح البخاري — رقم الحديث: 1834 — الرقم الفرعي: 99 — الرقم الأصلي: 1834</w:t>
        <w:br/>
      </w:r>
      <w:r>
        <w:rPr>
          <w:rtl w:val="1"/>
        </w:rPr>
        <w:t xml:space="preserve"> حدثنا عثمان بن أبي شيبة حدثنا جرير عن منصور عن مجاهد عن طاوس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النبيُّ ﷺ يومَ افتَتَحَ مكَّةَ:  </w:t>
      </w:r>
      <w:r>
        <w:rPr>
          <w:color w:val="FF0000"/>
          <w:rtl w:val="1"/>
        </w:rPr>
        <w:t xml:space="preserve">«لا هِجْرةَ، ولكنْ جِهادٌ ونِيَّةٌ، وإذا استُنفِرْتُم فانفِرُوا،  </w:t>
      </w:r>
      <w:r>
        <w:rPr>
          <w:color w:val="FF0000"/>
          <w:rtl w:val="1"/>
        </w:rPr>
        <w:t xml:space="preserve">فإنَّ هذا بَلَدٌ حَرَّمَ اللهُ يومَ خَلَقَ السَّماواتِ والأرضَ، وهو حَرَامٌ بحُرْمةِ الله إلى يومِ القِيامةِ،  </w:t>
      </w:r>
      <w:r>
        <w:rPr>
          <w:color w:val="FF0000"/>
          <w:rtl w:val="1"/>
        </w:rPr>
        <w:t xml:space="preserve">وإنَّه لم يَحِلَّ القِتالُ فيه لأحدٍ قَبْلي، ولم يَحِلَّ لي إلَّا ساعةً من نهارٍ، فهو حَرَامٌ بحُرْمةِ الله إلى يومِ القِيامةِ،  </w:t>
      </w:r>
      <w:r>
        <w:rPr>
          <w:color w:val="FF0000"/>
          <w:rtl w:val="1"/>
        </w:rPr>
        <w:t xml:space="preserve">لا يُعضَدُ شَوْكُه، ولا يُنفَّرُ صَيدُه، ولا يَلتَقِطُ لُقَطَتَه إلّا مَن عَرَّفَها، ولا يُختَلَى خَلَاها»،  </w:t>
      </w:r>
      <w:r>
        <w:rPr>
          <w:color w:val="000000"/>
          <w:rtl w:val="1"/>
        </w:rPr>
        <w:t xml:space="preserve">قال العبَّاسُ: يا رسولَ الله، إلَّا الإذْخِرَ؟ فإنَّه لِقَيْنِهم ولِبيوتِهم، قال: قال: «إلَّا الإذْخِرَ». 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دواعي النفير [انظر أسباب الجهاد وأهدافه] - النفير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من يتخذ القرار بإعلان النفير - القرار بالنفير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