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لا يجوز من الثمرة في الصدقة-كتاب الزكاة-سنن أبي داود — رقم الحديث: 1608 — الرقم الفرعي: 99 — الرقم الأصلي: 1608</w:t>
        <w:br/>
      </w:r>
      <w:r>
        <w:rPr>
          <w:rtl w:val="1"/>
        </w:rPr>
        <w:t xml:space="preserve"> حدثنا نصر بن عاصم الأنطاكيّ ثنا يحيى ملاحظة يعني القطّان عن عبد الحميد بن جعفر حدثني صالح بن أبي عريب عن كثير بن مُرّة عن عوف بن مالك</w:t>
        <w:br/>
      </w:r>
      <w:r>
        <w:rPr>
          <w:color w:val="FF0000"/>
          <w:rtl w:val="1"/>
        </w:rPr>
        <w:t xml:space="preserve">قال: دخلَ علينا رَسولُ الله ﷺ المسجدَ، وبِيدِه عصًا، وقد علَّق رجلٌ قِنًّا حَشَفًا،  </w:t>
      </w:r>
      <w:r>
        <w:rPr>
          <w:color w:val="FF0000"/>
          <w:rtl w:val="1"/>
        </w:rPr>
        <w:t xml:space="preserve">فطَعَنَ بالعَصا في ذلك القِنْوِ،  </w:t>
      </w:r>
      <w:r>
        <w:rPr>
          <w:color w:val="FF0000"/>
          <w:rtl w:val="1"/>
        </w:rPr>
        <w:t xml:space="preserve">وقال: «لو شاءَ ربُّ هذِه الصَّدقةِ تصدَّق بأطيَبَ منها»،  </w:t>
      </w:r>
      <w:r>
        <w:rPr>
          <w:color w:val="FF0000"/>
          <w:rtl w:val="1"/>
        </w:rPr>
        <w:t xml:space="preserve">وقال: «إنَّ ربَّ هذه الصّدقةِ يأكُلُ الحَشَفَ يَومَ القِيامَة».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صفة المال الذي يخرج للزكاة - الزكاة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قيمة تحري المال الطيب للقربة والصدقة - الحرص على الحلال الطيِّب</w:t>
      </w:r>
    </w:p>
    <w:p>
      <w:pPr>
        <w:bidi w:val="1"/>
        <w:jc w:val="start"/>
      </w:pPr>
      <w:r>
        <w:rPr>
          <w:rtl w:val="1"/>
        </w:rPr>
        <w:t>الشرح: الدلالة: صور من الثواب يوم القيامة من جنس العمل - أحوال الناس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