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المتشدق في الكلام-كتاب الأدب-سنن أبي داود — رقم الحديث: 5005 — الرقم الفرعي: 99 — الرقم الأصلي: 5005</w:t>
        <w:br/>
      </w:r>
      <w:r>
        <w:rPr>
          <w:rtl w:val="1"/>
        </w:rPr>
        <w:t xml:space="preserve"> حدثنا محمد بن سنان الباهليّ ملاحظة وكان ينزل العوقة ثنا نافع بن عمر عن بشر بن عاصم عن أبيه عن عبد الله ملاحظة قال أبو داود:هو ابن عمرو قال:قال رسول الله صلى الله عليه وسلم</w:t>
        <w:br/>
      </w:r>
      <w:r>
        <w:rPr>
          <w:color w:val="FF0000"/>
          <w:rtl w:val="1"/>
        </w:rPr>
        <w:t xml:space="preserve">«إنَّ الله عزَّ وجلَّ يُبغِضُ البَليغَ مِن الرِّجالِ؛ الذي يتخلَّل بلِسانِه تخلُّلَ الباقِرَة بِلسَانِها».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البلاغة - قيم تذوق الأدب الرفيع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